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8A" w:rsidRDefault="00BB188A" w:rsidP="00F14640">
      <w:pPr>
        <w:pStyle w:val="230"/>
        <w:shd w:val="clear" w:color="auto" w:fill="auto"/>
        <w:spacing w:before="0" w:line="288" w:lineRule="auto"/>
        <w:ind w:right="20"/>
        <w:rPr>
          <w:lang w:val="en-US"/>
        </w:rPr>
      </w:pPr>
      <w:bookmarkStart w:id="0" w:name="bookmark1"/>
    </w:p>
    <w:p w:rsidR="00BB188A" w:rsidRDefault="00BB188A" w:rsidP="00F14640">
      <w:pPr>
        <w:pStyle w:val="230"/>
        <w:shd w:val="clear" w:color="auto" w:fill="auto"/>
        <w:spacing w:before="0" w:line="288" w:lineRule="auto"/>
        <w:ind w:right="20"/>
        <w:rPr>
          <w:lang w:val="en-US"/>
        </w:rPr>
      </w:pPr>
    </w:p>
    <w:p w:rsidR="006B023E" w:rsidRPr="00F14640" w:rsidRDefault="004B54FA" w:rsidP="00F14640">
      <w:pPr>
        <w:pStyle w:val="230"/>
        <w:shd w:val="clear" w:color="auto" w:fill="auto"/>
        <w:spacing w:before="0" w:line="288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ПРОБЛЕМИ АДАПТАЦІЇ</w:t>
      </w:r>
      <w:r>
        <w:rPr>
          <w:sz w:val="24"/>
          <w:szCs w:val="24"/>
          <w:lang w:val="ru-RU"/>
        </w:rPr>
        <w:t xml:space="preserve"> </w:t>
      </w:r>
      <w:r w:rsidR="001E633B" w:rsidRPr="00F14640">
        <w:rPr>
          <w:sz w:val="24"/>
          <w:szCs w:val="24"/>
        </w:rPr>
        <w:t>ЗАКОНОДАВСТВА УКРАЇНИ,</w:t>
      </w:r>
      <w:bookmarkEnd w:id="0"/>
    </w:p>
    <w:p w:rsidR="004B54FA" w:rsidRDefault="004B54FA" w:rsidP="00F14640">
      <w:pPr>
        <w:pStyle w:val="230"/>
        <w:shd w:val="clear" w:color="auto" w:fill="auto"/>
        <w:spacing w:before="0" w:line="288" w:lineRule="auto"/>
        <w:ind w:right="20"/>
        <w:rPr>
          <w:sz w:val="24"/>
          <w:szCs w:val="24"/>
          <w:lang w:val="ru-RU"/>
        </w:rPr>
      </w:pPr>
      <w:bookmarkStart w:id="1" w:name="bookmark2"/>
      <w:r>
        <w:rPr>
          <w:sz w:val="24"/>
          <w:szCs w:val="24"/>
        </w:rPr>
        <w:t>ЩО РЕГУЛЮЄ ДІЯЛЬНІСТЬ СУБ'ЄКТІВ</w:t>
      </w:r>
    </w:p>
    <w:p w:rsidR="006B023E" w:rsidRPr="00F14640" w:rsidRDefault="001E633B" w:rsidP="00F14640">
      <w:pPr>
        <w:pStyle w:val="230"/>
        <w:shd w:val="clear" w:color="auto" w:fill="auto"/>
        <w:spacing w:before="0" w:line="288" w:lineRule="auto"/>
        <w:ind w:right="20"/>
        <w:rPr>
          <w:sz w:val="24"/>
          <w:szCs w:val="24"/>
          <w:lang w:val="en-US"/>
        </w:rPr>
      </w:pPr>
      <w:r w:rsidRPr="00F14640">
        <w:rPr>
          <w:sz w:val="24"/>
          <w:szCs w:val="24"/>
        </w:rPr>
        <w:t>ОРГАНІЗАЦІЙНО-ГОСПОДАРСЬКИХ ПОВНОВАЖЕНЬ,</w:t>
      </w:r>
      <w:r w:rsidRPr="00F14640">
        <w:rPr>
          <w:sz w:val="24"/>
          <w:szCs w:val="24"/>
        </w:rPr>
        <w:br/>
        <w:t>ДО ЗАРУБІЖНИХ ТА МІЖНАРОДНИХ СТАНДАРТІВ</w:t>
      </w:r>
      <w:bookmarkEnd w:id="1"/>
    </w:p>
    <w:p w:rsidR="00BB188A" w:rsidRDefault="00BB188A" w:rsidP="00F14640">
      <w:pPr>
        <w:pStyle w:val="230"/>
        <w:shd w:val="clear" w:color="auto" w:fill="auto"/>
        <w:spacing w:before="0" w:line="288" w:lineRule="auto"/>
        <w:ind w:right="20"/>
        <w:rPr>
          <w:lang w:val="en-US"/>
        </w:rPr>
      </w:pPr>
    </w:p>
    <w:p w:rsidR="00BB188A" w:rsidRDefault="00BB188A" w:rsidP="00F14640">
      <w:pPr>
        <w:pStyle w:val="230"/>
        <w:shd w:val="clear" w:color="auto" w:fill="auto"/>
        <w:spacing w:before="0" w:line="288" w:lineRule="auto"/>
        <w:ind w:right="20"/>
        <w:rPr>
          <w:lang w:val="en-US"/>
        </w:rPr>
      </w:pPr>
    </w:p>
    <w:p w:rsidR="00BB188A" w:rsidRDefault="00BB188A" w:rsidP="00F14640">
      <w:pPr>
        <w:pStyle w:val="230"/>
        <w:shd w:val="clear" w:color="auto" w:fill="auto"/>
        <w:spacing w:before="0" w:line="288" w:lineRule="auto"/>
        <w:ind w:right="20"/>
        <w:rPr>
          <w:lang w:val="en-US"/>
        </w:rPr>
      </w:pPr>
    </w:p>
    <w:p w:rsidR="00BB188A" w:rsidRPr="00BB188A" w:rsidRDefault="00BB188A" w:rsidP="00F14640">
      <w:pPr>
        <w:pStyle w:val="230"/>
        <w:shd w:val="clear" w:color="auto" w:fill="auto"/>
        <w:spacing w:before="0" w:line="288" w:lineRule="auto"/>
        <w:ind w:right="20"/>
        <w:rPr>
          <w:lang w:val="en-US"/>
        </w:rPr>
      </w:pPr>
    </w:p>
    <w:p w:rsidR="006B023E" w:rsidRPr="00BB188A" w:rsidRDefault="001E633B" w:rsidP="00F14640">
      <w:pPr>
        <w:pStyle w:val="30"/>
        <w:shd w:val="clear" w:color="auto" w:fill="auto"/>
        <w:spacing w:before="0" w:line="288" w:lineRule="auto"/>
        <w:ind w:right="20"/>
        <w:rPr>
          <w:sz w:val="24"/>
          <w:szCs w:val="24"/>
        </w:rPr>
      </w:pPr>
      <w:bookmarkStart w:id="2" w:name="bookmark3"/>
      <w:r w:rsidRPr="00BB188A">
        <w:rPr>
          <w:sz w:val="24"/>
          <w:szCs w:val="24"/>
        </w:rPr>
        <w:t>3.1. Правове становище</w:t>
      </w:r>
      <w:bookmarkEnd w:id="2"/>
    </w:p>
    <w:p w:rsidR="006B023E" w:rsidRPr="00BB188A" w:rsidRDefault="001E633B" w:rsidP="00F14640">
      <w:pPr>
        <w:pStyle w:val="30"/>
        <w:shd w:val="clear" w:color="auto" w:fill="auto"/>
        <w:spacing w:before="0" w:line="288" w:lineRule="auto"/>
        <w:ind w:right="20"/>
        <w:rPr>
          <w:sz w:val="24"/>
          <w:szCs w:val="24"/>
          <w:lang w:val="en-US"/>
        </w:rPr>
      </w:pPr>
      <w:bookmarkStart w:id="3" w:name="bookmark4"/>
      <w:r w:rsidRPr="00BB188A">
        <w:rPr>
          <w:sz w:val="24"/>
          <w:szCs w:val="24"/>
        </w:rPr>
        <w:t>суб'єктів організаційно-господарських повноважень</w:t>
      </w:r>
      <w:r w:rsidRPr="00BB188A">
        <w:rPr>
          <w:sz w:val="24"/>
          <w:szCs w:val="24"/>
        </w:rPr>
        <w:br/>
        <w:t>у зарубіжних країнах</w:t>
      </w:r>
      <w:bookmarkEnd w:id="3"/>
    </w:p>
    <w:p w:rsidR="00BB188A" w:rsidRDefault="00BB188A" w:rsidP="00F14640">
      <w:pPr>
        <w:pStyle w:val="30"/>
        <w:shd w:val="clear" w:color="auto" w:fill="auto"/>
        <w:spacing w:before="0" w:line="288" w:lineRule="auto"/>
        <w:ind w:right="20"/>
        <w:rPr>
          <w:lang w:val="en-US"/>
        </w:rPr>
      </w:pPr>
    </w:p>
    <w:p w:rsidR="00BB188A" w:rsidRDefault="00BB188A" w:rsidP="00F14640">
      <w:pPr>
        <w:pStyle w:val="30"/>
        <w:shd w:val="clear" w:color="auto" w:fill="auto"/>
        <w:spacing w:before="0" w:line="288" w:lineRule="auto"/>
        <w:ind w:right="20"/>
        <w:rPr>
          <w:lang w:val="en-US"/>
        </w:rPr>
      </w:pPr>
    </w:p>
    <w:p w:rsidR="00BB188A" w:rsidRPr="00BB188A" w:rsidRDefault="00BB188A" w:rsidP="00F14640">
      <w:pPr>
        <w:pStyle w:val="30"/>
        <w:shd w:val="clear" w:color="auto" w:fill="auto"/>
        <w:spacing w:before="0" w:line="288" w:lineRule="auto"/>
        <w:ind w:left="709" w:right="20"/>
        <w:rPr>
          <w:lang w:val="en-US"/>
        </w:rPr>
      </w:pP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72" w:firstLine="380"/>
        <w:rPr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Дослідження правового становища суб’єктів організаційно-господарських повноважень буде неповним без урахування зарубіжного досвіду регулювання відносин за участю таких осіб з огляду на інтеграційні процеси у сфері економіки, недостатність в Україні досвіду оптимального регулювання зазначених відносин в ринкових умовах господарювання, прагненням нашої країни адаптувати власне законодавство до кращих міжнародних, насамперед ЄС і зарубіжних стандартів.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72" w:firstLine="380"/>
        <w:rPr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Не претендуючи на повноту висвітлення цього питання, яке потребує окремого дослідження, спробуємо прослідкувати в законодавстві інших країн і міжнародних союзів віддзеркалення:</w:t>
      </w:r>
    </w:p>
    <w:p w:rsidR="006B023E" w:rsidRPr="00BB188A" w:rsidRDefault="001E633B" w:rsidP="00F14640">
      <w:pPr>
        <w:pStyle w:val="80"/>
        <w:numPr>
          <w:ilvl w:val="0"/>
          <w:numId w:val="1"/>
        </w:numPr>
        <w:shd w:val="clear" w:color="auto" w:fill="auto"/>
        <w:tabs>
          <w:tab w:val="left" w:pos="558"/>
        </w:tabs>
        <w:spacing w:line="288" w:lineRule="auto"/>
        <w:ind w:left="709" w:right="272" w:firstLine="380"/>
        <w:rPr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ролі держави та відповідної міжнародної інституції (у тому числі ЄС) в організації господарського (економічного) життя;</w:t>
      </w:r>
    </w:p>
    <w:p w:rsidR="006B023E" w:rsidRPr="00BB188A" w:rsidRDefault="001E633B" w:rsidP="00F14640">
      <w:pPr>
        <w:pStyle w:val="80"/>
        <w:numPr>
          <w:ilvl w:val="0"/>
          <w:numId w:val="1"/>
        </w:numPr>
        <w:shd w:val="clear" w:color="auto" w:fill="auto"/>
        <w:tabs>
          <w:tab w:val="left" w:pos="568"/>
        </w:tabs>
        <w:spacing w:line="288" w:lineRule="auto"/>
        <w:ind w:left="709" w:right="272" w:firstLine="380"/>
        <w:rPr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наявність суб’єктів, що здійснюють ПООГ, їх види та повноваження;</w:t>
      </w:r>
    </w:p>
    <w:p w:rsidR="006B023E" w:rsidRPr="00BB188A" w:rsidRDefault="001E633B" w:rsidP="00F14640">
      <w:pPr>
        <w:pStyle w:val="80"/>
        <w:numPr>
          <w:ilvl w:val="0"/>
          <w:numId w:val="1"/>
        </w:numPr>
        <w:shd w:val="clear" w:color="auto" w:fill="auto"/>
        <w:tabs>
          <w:tab w:val="left" w:pos="568"/>
        </w:tabs>
        <w:spacing w:line="288" w:lineRule="auto"/>
        <w:ind w:left="709" w:right="272" w:firstLine="380"/>
        <w:rPr>
          <w:rStyle w:val="80pt"/>
          <w:b/>
          <w:bCs/>
          <w:spacing w:val="10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ефективні правові механізми реалізації ПООГ (з метою їх урахування при вдосконаленні господарського законодавства).</w:t>
      </w:r>
    </w:p>
    <w:p w:rsidR="00BB188A" w:rsidRDefault="00BB188A" w:rsidP="00F14640">
      <w:pPr>
        <w:pStyle w:val="80"/>
        <w:shd w:val="clear" w:color="auto" w:fill="auto"/>
        <w:tabs>
          <w:tab w:val="left" w:pos="568"/>
        </w:tabs>
        <w:spacing w:line="288" w:lineRule="auto"/>
        <w:ind w:left="709" w:right="272"/>
        <w:rPr>
          <w:rStyle w:val="80pt"/>
          <w:bCs/>
          <w:sz w:val="24"/>
          <w:szCs w:val="24"/>
          <w:lang w:val="en-US"/>
        </w:rPr>
      </w:pPr>
    </w:p>
    <w:p w:rsidR="00BB188A" w:rsidRPr="00BB188A" w:rsidRDefault="00BB188A" w:rsidP="00F14640">
      <w:pPr>
        <w:pStyle w:val="80"/>
        <w:shd w:val="clear" w:color="auto" w:fill="auto"/>
        <w:spacing w:line="288" w:lineRule="auto"/>
        <w:ind w:left="709" w:right="272" w:firstLine="3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Проаналізувавши законодавство зарубіжних країн, можна зазначити, що поняття «суб’єкт організаційно-господарських повноважень» у ньому не зустрічається, проте ряд органів державної влади та інших суб’єктів цих держав наділені ПООГ.</w:t>
      </w:r>
    </w:p>
    <w:p w:rsidR="00BB188A" w:rsidRDefault="00BB188A" w:rsidP="00F14640">
      <w:pPr>
        <w:pStyle w:val="80"/>
        <w:shd w:val="clear" w:color="auto" w:fill="auto"/>
        <w:spacing w:line="288" w:lineRule="auto"/>
        <w:ind w:left="709" w:right="272" w:firstLine="360"/>
        <w:rPr>
          <w:rStyle w:val="80pt"/>
          <w:bCs/>
          <w:sz w:val="24"/>
          <w:szCs w:val="24"/>
          <w:lang w:val="en-US"/>
        </w:rPr>
      </w:pPr>
      <w:r w:rsidRPr="00BB188A">
        <w:rPr>
          <w:rStyle w:val="80pt"/>
          <w:bCs/>
          <w:sz w:val="24"/>
          <w:szCs w:val="24"/>
        </w:rPr>
        <w:t>Зокрема, в усіх розвинутих країнах світу при всіх економічних системах держава в тому або іншому ступені регулює економіку, при цьому роль держави в регулюванні процесів соціально-економічного розвитку зростає в міру поглиблення міжнародного поділу праці [235, с. 37].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72" w:firstLine="3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Необхідність здійснення ПООГ державою у багатьох зарубіжних державах задекларовано в основних законах цих країн. Наприклад, відповідно до ст. 131 Конституції Іспанії до повноважень держави належить планування економічної діяльності з метою задоволення публічних інтересів, вирівнювання регіонального і секторального розвитку, стимулювання зростання доходів та їх справедливого розподілу. Таким чином, іспанський законодавець прямо ставить перед державою завдання: за рахунок регулювання економічних процесів впливати на небезпечні </w:t>
      </w:r>
      <w:r w:rsidRPr="00BB188A">
        <w:rPr>
          <w:rStyle w:val="80pt"/>
          <w:bCs/>
          <w:sz w:val="24"/>
          <w:szCs w:val="24"/>
        </w:rPr>
        <w:lastRenderedPageBreak/>
        <w:t>соціальні диспропорції, що виникають. У ст. 132 Конституції Іспанії регулюється питання закріплення правового режиму державного майна і наводиться перелік основних об’єктів права власності держави [244, с. 135].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72" w:firstLine="357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Стаття 3 Конституції Італійської Республіки встановлює, що завданням Республіки є усування перешкод економічному й соціальному порядку, які, фактично обмежуючи свободу і рівність громадян, заважають повному розвитку людської особистості й ефективній участі всіх трудящих у політичній, економічній і соціальній організації держави [126, с. 200].</w:t>
      </w:r>
    </w:p>
    <w:p w:rsidR="00BB188A" w:rsidRPr="00BB188A" w:rsidRDefault="001E633B" w:rsidP="00F14640">
      <w:pPr>
        <w:pStyle w:val="80"/>
        <w:shd w:val="clear" w:color="auto" w:fill="auto"/>
        <w:spacing w:line="288" w:lineRule="auto"/>
        <w:ind w:left="709" w:right="22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Згідно з нормами Конституції Бразилії 1988 р., економічний порядок базується на цінностях людської праці та вільного підприємництва, має своїм завданням забезпечити всім гідне і сумісне з соціальною справедливістю існування, що передбачає реалізацію таких принципів, як національний суверенітет, приватна власність, соціальна функція власності, </w:t>
      </w:r>
      <w:r w:rsidR="00BB188A">
        <w:rPr>
          <w:rStyle w:val="80pt"/>
          <w:bCs/>
          <w:sz w:val="24"/>
          <w:szCs w:val="24"/>
        </w:rPr>
        <w:t xml:space="preserve">свобода конкуренції, захист </w:t>
      </w:r>
      <w:r w:rsidR="00BB188A" w:rsidRPr="00BB188A">
        <w:rPr>
          <w:rStyle w:val="80pt"/>
          <w:bCs/>
          <w:sz w:val="24"/>
          <w:szCs w:val="24"/>
        </w:rPr>
        <w:t>споживачів, захист довкілля, скорочення соціальної та регіональної нерівності, спрямованість до повної зайнятості, преференційний режим для дрібного національного підприємництва [244, с. 136].</w:t>
      </w:r>
    </w:p>
    <w:p w:rsidR="006B023E" w:rsidRPr="00F14640" w:rsidRDefault="00BB188A" w:rsidP="00F14640">
      <w:pPr>
        <w:pStyle w:val="80"/>
        <w:shd w:val="clear" w:color="auto" w:fill="auto"/>
        <w:spacing w:line="288" w:lineRule="auto"/>
        <w:ind w:left="709" w:right="220" w:firstLine="340"/>
        <w:rPr>
          <w:b w:val="0"/>
          <w:sz w:val="24"/>
          <w:szCs w:val="24"/>
          <w:lang w:val="en-US"/>
        </w:rPr>
      </w:pPr>
      <w:r w:rsidRPr="00BB188A">
        <w:rPr>
          <w:rStyle w:val="80pt"/>
          <w:bCs/>
          <w:sz w:val="24"/>
          <w:szCs w:val="24"/>
        </w:rPr>
        <w:t>Конституція України не містить систематизації норм, що визначали б конституційний економічний порядок як системне явище і були б достатньою конституційно- правовою основою для формування господарського законодавства — господарського правового порядку, проте зарубіжний досвід конституційної законотворчості знає більш-менш вдалі випадки такої систематизації. Так, Конституція Італії містить окремий розділ «Економічні відносини», а Конституція Іспанії — розділи «Про основні принципи соціальної та економічної політики» та «Про економіку та господарювання», які до певної міри могли б бути прикладами систематизації конституційно-правового регулювання економічних відносин. З огляду на це, неможливо не погодитися з точкою зору Д. В. Задихай- ла, який пропонує інкорпорацію в КУ окремого розділу «Економічна система» [244, с. 136], де повинні знайти відображення особливості здійснення органами державної влади своїх організаційно-господарських повноважень з регулювання господарської діяльності суб’єктів господарювання всіх форм власності.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20" w:firstLine="34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У зарубіжних державах, подібно до України, органами, що здійснюють ПООГ, є органи державної влади, які й реалізують повноваження держави, що закріплені у Конституціях цих країн та інших законах, та органи місцевого самоврядування.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20" w:firstLine="34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Наприклад, парламент Франції здійснює ПООГ через прийняття законів, що стосуються: встановлення тарифів, податків, порядку випуску грошей; встановлення категорій публічно-правових установ; націоналізації підприємств і передачі підприємств з державного сектора в приватний; вільного управління (Конституційний закон № 2003-276 від 28 березня 2003 р.) «територіальних» колективів, їх компетенції і їх прибутків (ст. 34 Конституції Французької Республіки [142, с. 60</w:t>
      </w:r>
      <w:r w:rsidR="00BB188A">
        <w:rPr>
          <w:rStyle w:val="80pt"/>
          <w:bCs/>
          <w:sz w:val="24"/>
          <w:szCs w:val="24"/>
          <w:lang w:val="en-US"/>
        </w:rPr>
        <w:t>-</w:t>
      </w:r>
      <w:r w:rsidRPr="00BB188A">
        <w:rPr>
          <w:rStyle w:val="80pt"/>
          <w:bCs/>
          <w:sz w:val="24"/>
          <w:szCs w:val="24"/>
        </w:rPr>
        <w:t>61]).</w:t>
      </w:r>
    </w:p>
    <w:p w:rsidR="00BB188A" w:rsidRPr="00BB188A" w:rsidRDefault="001E633B" w:rsidP="00F14640">
      <w:pPr>
        <w:pStyle w:val="80"/>
        <w:shd w:val="clear" w:color="auto" w:fill="auto"/>
        <w:tabs>
          <w:tab w:val="left" w:pos="10915"/>
        </w:tabs>
        <w:spacing w:line="288" w:lineRule="auto"/>
        <w:ind w:left="709" w:right="272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У Франції існує три рівні регіонального та місцевого самоврядування. Адмі</w:t>
      </w:r>
      <w:r w:rsidR="00BB188A" w:rsidRPr="00BB188A">
        <w:rPr>
          <w:rStyle w:val="80pt"/>
          <w:bCs/>
          <w:sz w:val="24"/>
          <w:szCs w:val="24"/>
        </w:rPr>
        <w:t xml:space="preserve">ністративно-територіальна структура Франції — регіони, департаменти, комуни чи общини. Комуни обирають свої комунальні або муніципальні ради. До ПООГ комун належать такі: розвиток місцевого підприємництва; економічний розвиток; організація, розвиток та утримання мереж галузей; підтримка народного </w:t>
      </w:r>
      <w:r w:rsidR="00BB188A" w:rsidRPr="00BB188A">
        <w:rPr>
          <w:rStyle w:val="80pt"/>
          <w:bCs/>
          <w:sz w:val="24"/>
          <w:szCs w:val="24"/>
        </w:rPr>
        <w:lastRenderedPageBreak/>
        <w:t>господарства [412, с. 18]. У французьких містах Парижі, Леоні, та Марселі застосовується централізована модель міського самоврядування, зокрема Паризькою комуною управляє Рада Парижу, яка розпускається декретом Ради Міністрів Фра</w:t>
      </w:r>
      <w:r w:rsidR="00BB188A">
        <w:rPr>
          <w:rStyle w:val="80pt"/>
          <w:bCs/>
          <w:sz w:val="24"/>
          <w:szCs w:val="24"/>
        </w:rPr>
        <w:t>нції, а формується через всеза</w:t>
      </w:r>
      <w:r w:rsidR="00BB188A" w:rsidRPr="00BB188A">
        <w:rPr>
          <w:rStyle w:val="80pt"/>
          <w:bCs/>
          <w:sz w:val="24"/>
          <w:szCs w:val="24"/>
        </w:rPr>
        <w:t>гальні прямі вибори строком на шість років. У централізованій французькій моделі особливу роль в діяльності органів місцевого самоврядування відіграють комісари Республіки, які призначаються декретом Уряду і здійснюють адміністративний контроль за діяльністю місцевих органів департаментів [376, с. 303—304].</w:t>
      </w:r>
    </w:p>
    <w:p w:rsidR="00BB188A" w:rsidRPr="00BB188A" w:rsidRDefault="00BB188A" w:rsidP="00F14640">
      <w:pPr>
        <w:pStyle w:val="80"/>
        <w:shd w:val="clear" w:color="auto" w:fill="auto"/>
        <w:tabs>
          <w:tab w:val="left" w:pos="10915"/>
        </w:tabs>
        <w:spacing w:line="288" w:lineRule="auto"/>
        <w:ind w:left="709" w:right="272" w:firstLine="40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В Основному законі Німеччини вказується, що громадам повинно бути надано право регулювати у рамках закону під свою відповідальність усі справи місцевого співтовариства (п. 2 ст. 28) [390, с. 109]. Щодо Берліну, то йому притаманна змішана модель місцевого самоврядування (поєднання централізованої і децентралізованої), оскільки він є однією з федеральних земель і столичним містом. Органи влади міста — Зібрання народних представників, Уряд, Бургомістр і Адміністрація Берліна — здійснюють одночасно державні функції землі Німеччини та функції громад земель. На аналогічних принципах побудована організація управління територією міста Києва, включаючи відповідні райони [376, с. 306].</w:t>
      </w:r>
    </w:p>
    <w:p w:rsidR="006B023E" w:rsidRPr="00BB188A" w:rsidRDefault="00BB188A" w:rsidP="00F14640">
      <w:pPr>
        <w:pStyle w:val="80"/>
        <w:shd w:val="clear" w:color="auto" w:fill="auto"/>
        <w:tabs>
          <w:tab w:val="left" w:pos="10915"/>
        </w:tabs>
        <w:spacing w:line="288" w:lineRule="auto"/>
        <w:ind w:left="709" w:right="272" w:firstLine="40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В Італії місцеве самоврядування здійснюється у провінціях і комунах через представницькі органи — ради, виконавчі органи — </w:t>
      </w:r>
      <w:proofErr w:type="spellStart"/>
      <w:r w:rsidRPr="00BB188A">
        <w:rPr>
          <w:rStyle w:val="80pt"/>
          <w:bCs/>
          <w:sz w:val="24"/>
          <w:szCs w:val="24"/>
        </w:rPr>
        <w:t>джунти</w:t>
      </w:r>
      <w:proofErr w:type="spellEnd"/>
      <w:r w:rsidRPr="00BB188A">
        <w:rPr>
          <w:rStyle w:val="80pt"/>
          <w:bCs/>
          <w:sz w:val="24"/>
          <w:szCs w:val="24"/>
        </w:rPr>
        <w:t>, голів рад і джут. Низовою ланкою комунального самоврядування у Німеччині є органи самоврядування сільських і міських громад. Що стосується міських громад, то обсяг повноважень їх органів самоврядування залежить від характеристики їх міста: «місто середньої величини», «велике місто району», «самостійне місто», «велике місто, що належить до району» [170, с. 113]. Відповідно д</w:t>
      </w:r>
      <w:r>
        <w:rPr>
          <w:rStyle w:val="80pt"/>
          <w:bCs/>
          <w:sz w:val="24"/>
          <w:szCs w:val="24"/>
        </w:rPr>
        <w:t>о ст. 119-30 Конституції Італій</w:t>
      </w:r>
      <w:r w:rsidR="001E633B" w:rsidRPr="00BB188A">
        <w:rPr>
          <w:rStyle w:val="80pt"/>
          <w:bCs/>
          <w:sz w:val="24"/>
          <w:szCs w:val="24"/>
        </w:rPr>
        <w:t>ської Республіки комуни, провінції, столичні міста й області володіють власним майном, належність якого визначається відповідно до загальних принципів, встановлених законом держави [126, с. 225].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61" w:firstLine="4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Координацію національної політики Фінляндії відносно підприємців і компаній здійснює Міністерство торгівлі та промисловості, одне з ПООГ, а саме державну реєстрацію юридичних осіб — Національне патентне і реєстраційне бюро, штаб-квартира якого знаходиться у Гельсінкі, має філії в кожному адміністративному районі Фінляндії [355, с. 67].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61" w:firstLine="4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У Великобританії діє Комітет з регуляторної політики, який до певної міри є аналогом Державного комітету з питань регуляторної політики та підприємництва України [294, с. 117]. Стосовно Міністерства фінансів Великобританії, то основними напрямами його діяльності є: збір доходів (у цьому йому допомагає Рада із справ внутрішніх доходів і Рада з мита і акцизів); контроль за видатками інших центральних відомств [204, с. 69].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61" w:firstLine="4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Типовим прикладом децентралізованої моделі місцевого самоврядування є система міської влади міста Лондона, для якої характерна відсутність на місцях представників державної влади, здійснення місцевими органами лише тих повноважень, які прямо передбачені законом, і широке застосування громадських форм управління в діяльності місцевих структур [376, с. 304]. У 1998 р. закінчився етап муніципальної реформи у Великобританії, на сьогодні на території держави функціонують органи муні</w:t>
      </w:r>
      <w:r w:rsidR="00BB188A" w:rsidRPr="00BB188A">
        <w:rPr>
          <w:rStyle w:val="80pt"/>
          <w:bCs/>
          <w:sz w:val="24"/>
          <w:szCs w:val="24"/>
        </w:rPr>
        <w:t xml:space="preserve">ципального управління: </w:t>
      </w:r>
      <w:proofErr w:type="spellStart"/>
      <w:r w:rsidR="00BB188A" w:rsidRPr="00BB188A">
        <w:rPr>
          <w:rStyle w:val="80pt"/>
          <w:bCs/>
          <w:sz w:val="24"/>
          <w:szCs w:val="24"/>
        </w:rPr>
        <w:t>метропо</w:t>
      </w:r>
      <w:r w:rsidRPr="00BB188A">
        <w:rPr>
          <w:rStyle w:val="80pt"/>
          <w:bCs/>
          <w:sz w:val="24"/>
          <w:szCs w:val="24"/>
        </w:rPr>
        <w:t>літенських</w:t>
      </w:r>
      <w:proofErr w:type="spellEnd"/>
      <w:r w:rsidRPr="00BB188A">
        <w:rPr>
          <w:rStyle w:val="80pt"/>
          <w:bCs/>
          <w:sz w:val="24"/>
          <w:szCs w:val="24"/>
        </w:rPr>
        <w:t xml:space="preserve"> районів, </w:t>
      </w:r>
      <w:r w:rsidRPr="00BB188A">
        <w:rPr>
          <w:rStyle w:val="80pt"/>
          <w:bCs/>
          <w:sz w:val="24"/>
          <w:szCs w:val="24"/>
        </w:rPr>
        <w:lastRenderedPageBreak/>
        <w:t>унітарних округів, графств і районів (територія деяких графств поділена на райони) [313, с. 9].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709" w:right="261" w:firstLine="4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До органів державної влади як суб’єктів, що здійснюють ПООГ у Сполучених Штатах Америки (далі — </w:t>
      </w:r>
      <w:r w:rsidRPr="00BB188A">
        <w:rPr>
          <w:rStyle w:val="80pt"/>
          <w:bCs/>
          <w:sz w:val="24"/>
          <w:szCs w:val="24"/>
          <w:lang w:val="ru-RU" w:eastAsia="ru-RU" w:bidi="ru-RU"/>
        </w:rPr>
        <w:t xml:space="preserve">США), </w:t>
      </w:r>
      <w:r w:rsidRPr="00BB188A">
        <w:rPr>
          <w:rStyle w:val="80pt"/>
          <w:bCs/>
          <w:sz w:val="24"/>
          <w:szCs w:val="24"/>
        </w:rPr>
        <w:t>можна віднести: Федеральну торгову комісію і Комісію щодо продажів на строк (функцією яких є охороняти конкуренцію і чесну торгову практику); Федеральну резервну комісію, Федеральну корпорацію страхових вкладів, Комісію цінних паперів і біржових операцій (здійснюють регулювання у сфері фінансів); Адміністрацію</w:t>
      </w:r>
      <w:r w:rsidR="00BB188A">
        <w:rPr>
          <w:b w:val="0"/>
          <w:sz w:val="24"/>
          <w:szCs w:val="24"/>
          <w:lang w:val="en-US"/>
        </w:rPr>
        <w:t xml:space="preserve"> </w:t>
      </w:r>
      <w:r w:rsidRPr="00BB188A">
        <w:rPr>
          <w:rStyle w:val="80pt"/>
          <w:bCs/>
          <w:sz w:val="24"/>
          <w:szCs w:val="24"/>
          <w:lang w:val="ru-RU" w:eastAsia="ru-RU" w:bidi="ru-RU"/>
        </w:rPr>
        <w:t xml:space="preserve">малого </w:t>
      </w:r>
      <w:r w:rsidRPr="00BB188A">
        <w:rPr>
          <w:rStyle w:val="80pt"/>
          <w:bCs/>
          <w:sz w:val="24"/>
          <w:szCs w:val="24"/>
        </w:rPr>
        <w:t xml:space="preserve">бізнесу, Національну адміністрацію кредитних союзів, Комісію </w:t>
      </w:r>
      <w:proofErr w:type="spellStart"/>
      <w:r w:rsidRPr="00BB188A">
        <w:rPr>
          <w:rStyle w:val="80pt"/>
          <w:bCs/>
          <w:sz w:val="24"/>
          <w:szCs w:val="24"/>
        </w:rPr>
        <w:t>міжштатної</w:t>
      </w:r>
      <w:proofErr w:type="spellEnd"/>
      <w:r w:rsidRPr="00BB188A">
        <w:rPr>
          <w:rStyle w:val="80pt"/>
          <w:bCs/>
          <w:sz w:val="24"/>
          <w:szCs w:val="24"/>
        </w:rPr>
        <w:t xml:space="preserve"> торгівлі та інші [160, с. 11].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567" w:right="272" w:firstLine="3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В Японії ст. 94 Конституції 1947 р. встановлює повноваження місцевих органів публічної влади: управління майном, ведення справ і здійснення адміністрування, видання актів у межах закону [144, с. 407]. У кожній одиниці адміністративно-територіального поділу Японії безпосередньо виборцями формуються </w:t>
      </w:r>
      <w:proofErr w:type="spellStart"/>
      <w:r w:rsidRPr="00BB188A">
        <w:rPr>
          <w:rStyle w:val="80pt"/>
          <w:bCs/>
          <w:sz w:val="24"/>
          <w:szCs w:val="24"/>
        </w:rPr>
        <w:t>префектуральні</w:t>
      </w:r>
      <w:proofErr w:type="spellEnd"/>
      <w:r w:rsidRPr="00BB188A">
        <w:rPr>
          <w:rStyle w:val="80pt"/>
          <w:bCs/>
          <w:sz w:val="24"/>
          <w:szCs w:val="24"/>
        </w:rPr>
        <w:t xml:space="preserve"> збори. Основні повноваження таких зборів закріплені у статтях 96</w:t>
      </w:r>
      <w:r w:rsidR="00F14640">
        <w:rPr>
          <w:rStyle w:val="80pt"/>
          <w:bCs/>
          <w:sz w:val="24"/>
          <w:szCs w:val="24"/>
          <w:lang w:val="en-US"/>
        </w:rPr>
        <w:t>-</w:t>
      </w:r>
      <w:r w:rsidRPr="00BB188A">
        <w:rPr>
          <w:rStyle w:val="80pt"/>
          <w:bCs/>
          <w:sz w:val="24"/>
          <w:szCs w:val="24"/>
        </w:rPr>
        <w:t>100 Закону про місцеве самоуправління, до ПООГ можна віднести: затвердження місцевих податків, штрафів, принципові питання управління муніципальними підприємствами [160, с. 174].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567" w:right="272" w:firstLine="3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Визначаючи напрями своєї економічної політики на плановий період, держава через свої центральні органи планування може створювати умови, за яких приватним підприємствам </w:t>
      </w:r>
      <w:proofErr w:type="spellStart"/>
      <w:r w:rsidRPr="00BB188A">
        <w:rPr>
          <w:rStyle w:val="80pt"/>
          <w:bCs/>
          <w:sz w:val="24"/>
          <w:szCs w:val="24"/>
        </w:rPr>
        <w:t>прийнятніше</w:t>
      </w:r>
      <w:proofErr w:type="spellEnd"/>
      <w:r w:rsidRPr="00BB188A">
        <w:rPr>
          <w:rStyle w:val="80pt"/>
          <w:bCs/>
          <w:sz w:val="24"/>
          <w:szCs w:val="24"/>
        </w:rPr>
        <w:t xml:space="preserve"> закладати до своїх планів те, що відповідає цілям держави [305, є. 208]. Державне планування (програмування) після Другої світової війни здійснюється у всіх розвинених західних країнах. Для ведення планової роботи створено відповідні державні структури. У Франції</w:t>
      </w:r>
      <w:r w:rsidR="00BB188A">
        <w:rPr>
          <w:rStyle w:val="80pt"/>
          <w:bCs/>
          <w:sz w:val="24"/>
          <w:szCs w:val="24"/>
          <w:lang w:val="en-US"/>
        </w:rPr>
        <w:t xml:space="preserve"> </w:t>
      </w:r>
      <w:r w:rsidRPr="00BB188A">
        <w:rPr>
          <w:rStyle w:val="80pt"/>
          <w:bCs/>
          <w:sz w:val="24"/>
          <w:szCs w:val="24"/>
        </w:rPr>
        <w:t>— це Генеральний секретаріат з планування, у Канаді — Економічна рада, у Голландії — Центральне планове бюро, у Швеції — Економічний відділ при Міністерстві фінансів [305, с. 211]. В Японії склалася розвинута система органів державного програмування, підпорядкована Економічній консультативній Раді [229, с. 42]. У Німеччині приділяють велику увагу узгодженню планів різних адміністративно-територіальних рівнів. Необхідним є запозичення цього досвіду і створення в Україні такого суб’єкта організаційно-господарських повноважень під назвою «Рада областей». Основною функцією цієї Ради буде координація дій та вироблення загальної стратегії місцевими органами самоврядування на вирішення проблем, що в тій чи іншій мірі торкаються кожної територіальної одиниці для збалансованого економічного розвитку України.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426" w:right="130" w:firstLine="3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>У деяких зарубіжних країнах суди здійснюють певні ПООГ (що не притаманно для нашої держави), наприклад у Німеччині юридичні особи</w:t>
      </w:r>
      <w:r w:rsidR="00F14640">
        <w:rPr>
          <w:rStyle w:val="80pt"/>
          <w:bCs/>
          <w:sz w:val="24"/>
          <w:szCs w:val="24"/>
          <w:lang w:val="en-US"/>
        </w:rPr>
        <w:t xml:space="preserve"> </w:t>
      </w:r>
      <w:r w:rsidRPr="00BB188A">
        <w:rPr>
          <w:rStyle w:val="80pt"/>
          <w:bCs/>
          <w:sz w:val="24"/>
          <w:szCs w:val="24"/>
        </w:rPr>
        <w:t>— суб’єкти підприємницької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426" w:right="221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діяльності реєструються судами земель за місцем знаходження підприємств (реєстраційними судами), реєстрація полягає у внесенні найменування і адреси підприємства в торговий реєстр, з даними якого може ознайомитися будь-яка заінтересована особа [161, с. 53]. Суд перевіряє законність створення юридичної особи, звіт засновників, оцінщиків, тобто здійснює юридичну експертизу документів, що подані до суду разом із заявою на реєстрацію [234, с. 89; 355, с. 55]. Також в Австрії реєстрацію юридичних осіб на місцях здійснює будь-який судовий орган, а у Відні — Комерційний суд Відня, який ще й відповідає за ведення Комерційного реєстру, відкритого для громадського використання без спеціального дозволу [355, с. </w:t>
      </w:r>
      <w:r w:rsidRPr="00BB188A">
        <w:rPr>
          <w:rStyle w:val="80pt"/>
          <w:bCs/>
          <w:sz w:val="24"/>
          <w:szCs w:val="24"/>
        </w:rPr>
        <w:lastRenderedPageBreak/>
        <w:t>34].</w:t>
      </w:r>
    </w:p>
    <w:p w:rsidR="006B023E" w:rsidRPr="00BB188A" w:rsidRDefault="001E633B" w:rsidP="00F14640">
      <w:pPr>
        <w:pStyle w:val="80"/>
        <w:shd w:val="clear" w:color="auto" w:fill="auto"/>
        <w:spacing w:line="288" w:lineRule="auto"/>
        <w:ind w:left="426" w:right="221" w:firstLine="360"/>
        <w:rPr>
          <w:b w:val="0"/>
          <w:sz w:val="24"/>
          <w:szCs w:val="24"/>
        </w:rPr>
      </w:pPr>
      <w:r w:rsidRPr="00BB188A">
        <w:rPr>
          <w:rStyle w:val="80pt"/>
          <w:bCs/>
          <w:sz w:val="24"/>
          <w:szCs w:val="24"/>
        </w:rPr>
        <w:t xml:space="preserve">Особливим суб’єктом, що здійснює ПООГ у зарубіжних країнах, подібно до України, є Національний (центральний) банк. Специфікою центрального банку є те, що він поєднує окремі риси комерційної банківської установи й державного відомства, а також наділений деякими владними повноваженнями у сфері регулювання грошово-кредитної та банківської систем. Характер, зміст і форма взаємозв’язків центральних банків з органами державної влади в різних країнах істотно відрізняються. У більшості країн функціонує перехідна модель, у рамках якої використовуються принципи взаємодії виконавчої влади з центральним банком за певного ступеня його незалежності. У законодавстві лише декількох країн </w:t>
      </w:r>
      <w:r w:rsidRPr="00BB188A">
        <w:rPr>
          <w:rStyle w:val="80pt"/>
          <w:bCs/>
          <w:sz w:val="24"/>
          <w:szCs w:val="24"/>
          <w:lang w:val="ru-RU" w:eastAsia="ru-RU" w:bidi="ru-RU"/>
        </w:rPr>
        <w:t xml:space="preserve">(США, </w:t>
      </w:r>
      <w:r w:rsidRPr="00BB188A">
        <w:rPr>
          <w:rStyle w:val="80pt"/>
          <w:bCs/>
          <w:sz w:val="24"/>
          <w:szCs w:val="24"/>
        </w:rPr>
        <w:t>Німеччини, Швейцарії, Швеції та Голландії) передбачено пряме підпорядкування центральних банків парламентам. У більшості держав центральні банки підзвітні казначейству або міністерству фінансів [361, с. 107].</w:t>
      </w:r>
    </w:p>
    <w:p w:rsidR="006C2472" w:rsidRPr="006C2472" w:rsidRDefault="001E633B" w:rsidP="00F14640">
      <w:pPr>
        <w:pStyle w:val="80"/>
        <w:shd w:val="clear" w:color="auto" w:fill="auto"/>
        <w:tabs>
          <w:tab w:val="left" w:pos="3050"/>
        </w:tabs>
        <w:spacing w:line="288" w:lineRule="auto"/>
        <w:ind w:left="426" w:right="221" w:firstLine="360"/>
        <w:rPr>
          <w:b w:val="0"/>
          <w:sz w:val="24"/>
          <w:szCs w:val="24"/>
          <w:lang w:val="en-US"/>
        </w:rPr>
      </w:pPr>
      <w:r w:rsidRPr="00BB188A">
        <w:rPr>
          <w:rStyle w:val="80pt"/>
          <w:bCs/>
          <w:sz w:val="24"/>
          <w:szCs w:val="24"/>
        </w:rPr>
        <w:t xml:space="preserve">Правовий статус Швейцарського </w:t>
      </w:r>
      <w:bookmarkStart w:id="4" w:name="_GoBack"/>
      <w:bookmarkEnd w:id="4"/>
      <w:r w:rsidRPr="00BB188A">
        <w:rPr>
          <w:rStyle w:val="80pt"/>
          <w:bCs/>
          <w:sz w:val="24"/>
          <w:szCs w:val="24"/>
        </w:rPr>
        <w:t>національного банку регулюється Федеральним Законом про Швейцарський національний банк від 03.10.2003 р. і Постановою про Швейцарський національний банк, які вступили в силу з 01.05.2004 р. Федеральна Конституція цієї країни наділяє Швейцарський національний банк повноваженнями незалежного центрального банку і доручає йому визначати грошову і вал</w:t>
      </w:r>
      <w:r w:rsidR="006C2472">
        <w:rPr>
          <w:rStyle w:val="80pt"/>
          <w:bCs/>
          <w:sz w:val="24"/>
          <w:szCs w:val="24"/>
        </w:rPr>
        <w:t>ютну політику держави в інтере</w:t>
      </w:r>
      <w:r w:rsidR="006C2472" w:rsidRPr="006C2472">
        <w:rPr>
          <w:rStyle w:val="80pt"/>
          <w:bCs/>
          <w:sz w:val="24"/>
          <w:szCs w:val="24"/>
        </w:rPr>
        <w:t>сах всієї країни (п. 2 ст. 99 Федеральної Конституції) [322, с. 410</w:t>
      </w:r>
      <w:r w:rsidR="00F14640">
        <w:rPr>
          <w:rStyle w:val="80pt"/>
          <w:bCs/>
          <w:sz w:val="24"/>
          <w:szCs w:val="24"/>
          <w:lang w:val="en-US"/>
        </w:rPr>
        <w:t>-</w:t>
      </w:r>
      <w:r w:rsidR="006C2472" w:rsidRPr="006C2472">
        <w:rPr>
          <w:rStyle w:val="80pt"/>
          <w:bCs/>
          <w:sz w:val="24"/>
          <w:szCs w:val="24"/>
        </w:rPr>
        <w:t>413].</w:t>
      </w:r>
    </w:p>
    <w:p w:rsidR="006C2472" w:rsidRPr="006C2472" w:rsidRDefault="006C2472" w:rsidP="00F14640">
      <w:pPr>
        <w:pStyle w:val="80"/>
        <w:shd w:val="clear" w:color="auto" w:fill="auto"/>
        <w:spacing w:line="288" w:lineRule="auto"/>
        <w:ind w:left="426" w:right="272" w:firstLine="340"/>
        <w:rPr>
          <w:sz w:val="24"/>
          <w:szCs w:val="24"/>
        </w:rPr>
      </w:pPr>
      <w:r w:rsidRPr="006C2472">
        <w:rPr>
          <w:rStyle w:val="80pt"/>
          <w:bCs/>
          <w:sz w:val="24"/>
          <w:szCs w:val="24"/>
        </w:rPr>
        <w:t>У Німеччині суб’єктами, що здійснюють ПООГ у сфері банківської діяльності, є Федеральний орган банківського нагляду у співпраці з Федеральним банком Німеччини [343, с. 20]. Правове положення і повноваження публічних установ Німеччини дуже близькі до звичайного органу управління. Наприклад, в законі зазначено, що правове положення однієї із значних публічних установ — федерального банку — є положення державного відомства [214, с. 203].</w:t>
      </w:r>
    </w:p>
    <w:p w:rsidR="006C2472" w:rsidRPr="006C2472" w:rsidRDefault="006C2472" w:rsidP="00F14640">
      <w:pPr>
        <w:pStyle w:val="80"/>
        <w:shd w:val="clear" w:color="auto" w:fill="auto"/>
        <w:spacing w:line="288" w:lineRule="auto"/>
        <w:ind w:left="426" w:right="272" w:firstLine="340"/>
        <w:rPr>
          <w:sz w:val="24"/>
          <w:szCs w:val="24"/>
        </w:rPr>
      </w:pPr>
      <w:r w:rsidRPr="006C2472">
        <w:rPr>
          <w:rStyle w:val="80pt"/>
          <w:bCs/>
          <w:sz w:val="24"/>
          <w:szCs w:val="24"/>
        </w:rPr>
        <w:t>Федеральна комісія Швейцарії з банківської діяльності здійснює нагляд за банківською діяльністю, діяльністю інвестиційних фондів, бірж, розкриттям інформації про належність крупних пакетів акцій і публічними пропозиціями про купівлю компаній [322, с. 478]. Швидкі зміни на фінансових ринках привели до появи нових завдань в області нагляду за швейцарськими фінансовими ринками. Було запропоновано об’єднати Федеральну комісію з банківської діяльності та Федеральне управління з приватного страхування в єдиний орган нагляду за фінансовим ринком. Тенденція до створення єдиного органу нагляду за банківською діяльністю спостерігається і в інших країнах: Норвегія — єдиний орган нагляду за банківським і страховим сектором, і сектором цінних паперів (створений в 19</w:t>
      </w:r>
      <w:r w:rsidR="00F14640">
        <w:rPr>
          <w:rStyle w:val="80pt"/>
          <w:bCs/>
          <w:sz w:val="24"/>
          <w:szCs w:val="24"/>
        </w:rPr>
        <w:t xml:space="preserve">86 р.), Канада — Управління </w:t>
      </w:r>
      <w:proofErr w:type="spellStart"/>
      <w:r w:rsidR="00F14640">
        <w:rPr>
          <w:rStyle w:val="80pt"/>
          <w:bCs/>
          <w:sz w:val="24"/>
          <w:szCs w:val="24"/>
        </w:rPr>
        <w:t>су</w:t>
      </w:r>
      <w:r w:rsidRPr="006C2472">
        <w:rPr>
          <w:rStyle w:val="80pt"/>
          <w:bCs/>
          <w:sz w:val="24"/>
          <w:szCs w:val="24"/>
        </w:rPr>
        <w:t>перінтенданта</w:t>
      </w:r>
      <w:proofErr w:type="spellEnd"/>
      <w:r w:rsidRPr="006C2472">
        <w:rPr>
          <w:rStyle w:val="80pt"/>
          <w:bCs/>
          <w:sz w:val="24"/>
          <w:szCs w:val="24"/>
        </w:rPr>
        <w:t xml:space="preserve"> фінансових інститутів (1987 р.), Великобританія— Управління фінансових послуг (1997 р.), а також в Данії, Швеції, Фінляндії, Японії, Кореї та ін. [322, с. 525</w:t>
      </w:r>
      <w:r w:rsidR="00F14640">
        <w:rPr>
          <w:rStyle w:val="80pt"/>
          <w:bCs/>
          <w:sz w:val="24"/>
          <w:szCs w:val="24"/>
          <w:lang w:val="en-US"/>
        </w:rPr>
        <w:t>-</w:t>
      </w:r>
      <w:r w:rsidRPr="006C2472">
        <w:rPr>
          <w:rStyle w:val="80pt"/>
          <w:bCs/>
          <w:sz w:val="24"/>
          <w:szCs w:val="24"/>
        </w:rPr>
        <w:t>527].</w:t>
      </w:r>
    </w:p>
    <w:p w:rsidR="006C2472" w:rsidRPr="006C2472" w:rsidRDefault="006C2472" w:rsidP="00F14640">
      <w:pPr>
        <w:pStyle w:val="80"/>
        <w:shd w:val="clear" w:color="auto" w:fill="auto"/>
        <w:spacing w:line="288" w:lineRule="auto"/>
        <w:ind w:left="426" w:right="272" w:firstLine="340"/>
        <w:rPr>
          <w:sz w:val="24"/>
          <w:szCs w:val="24"/>
        </w:rPr>
      </w:pPr>
      <w:r w:rsidRPr="006C2472">
        <w:rPr>
          <w:rStyle w:val="80pt"/>
          <w:bCs/>
          <w:sz w:val="24"/>
          <w:szCs w:val="24"/>
        </w:rPr>
        <w:t xml:space="preserve">Потребує характеристики правове становище таких суб’єктів, що здійснюють ПООГ у країнах, де перехід до ринкової економіки розпочався в 70-х роках минулого століття, як органи державної влади та місцевого самоврядування. Зокрема, у Болгарії міністерства здійснюють важливі функції з організації певної галузі народного господарства чи певної сфери життя суспільства. До органів державної влади як суб’єктів, тип здійснюють ПООГ Болгарії, крім міністерств належать: Комітет </w:t>
      </w:r>
      <w:r w:rsidRPr="006C2472">
        <w:rPr>
          <w:rStyle w:val="80pt"/>
          <w:bCs/>
          <w:sz w:val="24"/>
          <w:szCs w:val="24"/>
        </w:rPr>
        <w:lastRenderedPageBreak/>
        <w:t>із стандартизації і метрології; Національна комісія по цінах при Раді Міністрів; Міжвідомча комісія з управління, використання та розпорядження нерухомим майном — власністю Республіки Болгарія за кордоном; Агентство з приватизації [160, с. 205].</w:t>
      </w:r>
    </w:p>
    <w:p w:rsidR="006C2472" w:rsidRPr="006C2472" w:rsidRDefault="006C2472" w:rsidP="00F14640">
      <w:pPr>
        <w:pStyle w:val="80"/>
        <w:shd w:val="clear" w:color="auto" w:fill="auto"/>
        <w:spacing w:line="288" w:lineRule="auto"/>
        <w:ind w:left="426" w:right="200" w:firstLine="340"/>
        <w:rPr>
          <w:sz w:val="24"/>
          <w:szCs w:val="24"/>
        </w:rPr>
      </w:pPr>
      <w:r w:rsidRPr="006C2472">
        <w:rPr>
          <w:rStyle w:val="80pt"/>
          <w:bCs/>
          <w:sz w:val="24"/>
          <w:szCs w:val="24"/>
        </w:rPr>
        <w:t xml:space="preserve">Стаття 138 Конституції Болгарії 1991 р. встановлює, що органом місцевого самоврядування в громаді є рада, а ст. </w:t>
      </w:r>
      <w:r w:rsidRPr="006C2472">
        <w:rPr>
          <w:rStyle w:val="81pt"/>
          <w:bCs/>
          <w:sz w:val="24"/>
          <w:szCs w:val="24"/>
        </w:rPr>
        <w:t>139—</w:t>
      </w:r>
      <w:r w:rsidRPr="006C2472">
        <w:rPr>
          <w:rStyle w:val="80pt"/>
          <w:bCs/>
          <w:sz w:val="24"/>
          <w:szCs w:val="24"/>
        </w:rPr>
        <w:t xml:space="preserve"> що органом виконавчої влади в громаді є кмет, який керується законом, актами ради та рішеннями, ухваленими населенням безпосередньо. Статті 140</w:t>
      </w:r>
      <w:r w:rsidR="00F14640">
        <w:rPr>
          <w:rStyle w:val="80pt"/>
          <w:bCs/>
          <w:sz w:val="24"/>
          <w:szCs w:val="24"/>
          <w:lang w:val="en-US"/>
        </w:rPr>
        <w:t>-</w:t>
      </w:r>
      <w:r w:rsidRPr="006C2472">
        <w:rPr>
          <w:rStyle w:val="80pt"/>
          <w:bCs/>
          <w:sz w:val="24"/>
          <w:szCs w:val="24"/>
        </w:rPr>
        <w:t>141 закріплюють за громадою право на муніципальну власність і місцевий бюджет [314, с. 8].</w:t>
      </w:r>
    </w:p>
    <w:p w:rsidR="006C2472" w:rsidRPr="006C2472" w:rsidRDefault="006C2472" w:rsidP="00F14640">
      <w:pPr>
        <w:pStyle w:val="80"/>
        <w:shd w:val="clear" w:color="auto" w:fill="auto"/>
        <w:spacing w:line="288" w:lineRule="auto"/>
        <w:ind w:left="426" w:right="200" w:firstLine="340"/>
        <w:rPr>
          <w:sz w:val="24"/>
          <w:szCs w:val="24"/>
        </w:rPr>
      </w:pPr>
      <w:r w:rsidRPr="006C2472">
        <w:rPr>
          <w:rStyle w:val="80pt"/>
          <w:bCs/>
          <w:sz w:val="24"/>
          <w:szCs w:val="24"/>
        </w:rPr>
        <w:t>Характерним є те, що Конституція Угорщини 1949 р. (розділ про місцеве самоврядування включений до її тексту у 1990 р.) — одна з небагатьох, яка прямо закріплює функції та повноваження органів місцевого самоврядування (ст. 44/А), до ПООГ можна віднести: регулювання та керування муніципальними справами, здійснення права власності щодо муніципального майна, розпорядження доходом муніципалітету, утворення власної організації та визначення порядку її функціонування [314, с. 8</w:t>
      </w:r>
      <w:r w:rsidR="00F14640">
        <w:rPr>
          <w:rStyle w:val="80pt"/>
          <w:bCs/>
          <w:sz w:val="24"/>
          <w:szCs w:val="24"/>
          <w:lang w:val="en-US"/>
        </w:rPr>
        <w:t>-</w:t>
      </w:r>
      <w:r w:rsidRPr="006C2472">
        <w:rPr>
          <w:rStyle w:val="80pt"/>
          <w:bCs/>
          <w:sz w:val="24"/>
          <w:szCs w:val="24"/>
        </w:rPr>
        <w:t>9].</w:t>
      </w:r>
    </w:p>
    <w:p w:rsidR="006C2472" w:rsidRPr="00F14640" w:rsidRDefault="006C2472" w:rsidP="00F14640">
      <w:pPr>
        <w:pStyle w:val="80"/>
        <w:shd w:val="clear" w:color="auto" w:fill="auto"/>
        <w:spacing w:line="288" w:lineRule="auto"/>
        <w:ind w:left="426" w:right="198" w:firstLine="340"/>
        <w:rPr>
          <w:rStyle w:val="80pt"/>
          <w:bCs/>
          <w:sz w:val="24"/>
          <w:szCs w:val="24"/>
          <w:lang w:val="en-US"/>
        </w:rPr>
      </w:pPr>
      <w:r w:rsidRPr="006C2472">
        <w:rPr>
          <w:rStyle w:val="80pt"/>
          <w:bCs/>
          <w:sz w:val="24"/>
          <w:szCs w:val="24"/>
        </w:rPr>
        <w:t xml:space="preserve">Відповідно до ст. 16 Конституції Республіки Польщі — всі мешканці одиниць основного територіального поділу складають у силу закону </w:t>
      </w:r>
      <w:proofErr w:type="spellStart"/>
      <w:r w:rsidRPr="006C2472">
        <w:rPr>
          <w:rStyle w:val="80pt"/>
          <w:bCs/>
          <w:sz w:val="24"/>
          <w:szCs w:val="24"/>
        </w:rPr>
        <w:t>самокеруючу</w:t>
      </w:r>
      <w:proofErr w:type="spellEnd"/>
      <w:r w:rsidRPr="006C2472">
        <w:rPr>
          <w:rStyle w:val="80pt"/>
          <w:bCs/>
          <w:sz w:val="24"/>
          <w:szCs w:val="24"/>
        </w:rPr>
        <w:t xml:space="preserve"> громаду [128, с. 88]. Представницькі функції громадськості здійснюються через структуру </w:t>
      </w:r>
      <w:r w:rsidRPr="00F14640">
        <w:rPr>
          <w:rStyle w:val="80pt"/>
          <w:bCs/>
          <w:sz w:val="24"/>
          <w:szCs w:val="24"/>
        </w:rPr>
        <w:t xml:space="preserve">самоврядування </w:t>
      </w:r>
      <w:proofErr w:type="spellStart"/>
      <w:r w:rsidRPr="00F14640">
        <w:rPr>
          <w:rStyle w:val="80pt"/>
          <w:bCs/>
          <w:sz w:val="24"/>
          <w:szCs w:val="24"/>
        </w:rPr>
        <w:t>ґмін</w:t>
      </w:r>
      <w:proofErr w:type="spellEnd"/>
      <w:r w:rsidRPr="00F14640">
        <w:rPr>
          <w:rStyle w:val="80pt"/>
          <w:bCs/>
          <w:sz w:val="24"/>
          <w:szCs w:val="24"/>
        </w:rPr>
        <w:t>, повітів і воєводств [324, с. 179].</w:t>
      </w:r>
    </w:p>
    <w:p w:rsidR="006C2472" w:rsidRPr="00F14640" w:rsidRDefault="00F14640" w:rsidP="00F14640">
      <w:pPr>
        <w:pStyle w:val="80"/>
        <w:shd w:val="clear" w:color="auto" w:fill="auto"/>
        <w:spacing w:line="288" w:lineRule="auto"/>
        <w:ind w:left="426" w:right="198" w:firstLine="340"/>
        <w:rPr>
          <w:rFonts w:asciiTheme="minorHAnsi" w:hAnsiTheme="minorHAnsi"/>
          <w:sz w:val="24"/>
          <w:szCs w:val="24"/>
          <w:lang w:val="en-US"/>
        </w:rPr>
      </w:pPr>
      <w:r w:rsidRPr="00F14640">
        <w:rPr>
          <w:rStyle w:val="80pt"/>
          <w:bCs/>
          <w:sz w:val="24"/>
          <w:szCs w:val="24"/>
        </w:rPr>
        <w:t xml:space="preserve">Стаття 2 Закону Республіки Польща «Про </w:t>
      </w:r>
      <w:proofErr w:type="spellStart"/>
      <w:r w:rsidRPr="00F14640">
        <w:rPr>
          <w:rStyle w:val="80pt"/>
          <w:bCs/>
          <w:sz w:val="24"/>
          <w:szCs w:val="24"/>
        </w:rPr>
        <w:t>ґмінне</w:t>
      </w:r>
      <w:proofErr w:type="spellEnd"/>
      <w:r w:rsidRPr="00F14640">
        <w:rPr>
          <w:rStyle w:val="80pt"/>
          <w:bCs/>
          <w:sz w:val="24"/>
          <w:szCs w:val="24"/>
        </w:rPr>
        <w:t xml:space="preserve"> самоврядування» визначає, що </w:t>
      </w:r>
      <w:proofErr w:type="spellStart"/>
      <w:r w:rsidRPr="00F14640">
        <w:rPr>
          <w:rStyle w:val="80pt"/>
          <w:bCs/>
          <w:sz w:val="24"/>
          <w:szCs w:val="24"/>
        </w:rPr>
        <w:t>ґміна</w:t>
      </w:r>
      <w:proofErr w:type="spellEnd"/>
      <w:r w:rsidRPr="00F14640">
        <w:rPr>
          <w:rStyle w:val="80pt"/>
          <w:bCs/>
          <w:sz w:val="24"/>
          <w:szCs w:val="24"/>
        </w:rPr>
        <w:t xml:space="preserve"> (самоврядна громада, а також відповідна територія) виконує громадські завдання від свого імені й під свою відповідальність [129, </w:t>
      </w:r>
      <w:r w:rsidRPr="00F14640">
        <w:rPr>
          <w:rStyle w:val="80pt"/>
          <w:bCs/>
          <w:sz w:val="24"/>
          <w:szCs w:val="24"/>
          <w:lang w:val="ru-RU" w:eastAsia="ru-RU" w:bidi="ru-RU"/>
        </w:rPr>
        <w:t xml:space="preserve">с. </w:t>
      </w:r>
      <w:r w:rsidRPr="00F14640">
        <w:rPr>
          <w:rStyle w:val="80pt"/>
          <w:bCs/>
          <w:sz w:val="24"/>
          <w:szCs w:val="24"/>
        </w:rPr>
        <w:t xml:space="preserve">118]. Серед власних завдань </w:t>
      </w:r>
      <w:proofErr w:type="spellStart"/>
      <w:r w:rsidRPr="00F14640">
        <w:rPr>
          <w:rStyle w:val="80pt"/>
          <w:bCs/>
          <w:sz w:val="24"/>
          <w:szCs w:val="24"/>
        </w:rPr>
        <w:t>ґміни</w:t>
      </w:r>
      <w:proofErr w:type="spellEnd"/>
      <w:r w:rsidRPr="00F14640">
        <w:rPr>
          <w:rStyle w:val="80pt"/>
          <w:bCs/>
          <w:sz w:val="24"/>
          <w:szCs w:val="24"/>
        </w:rPr>
        <w:t xml:space="preserve"> є такі питання: забезпечення функціонування місцевої економіки; організації місцевого громадського транспорту; торгівлі та торгових рядів (ст. 7 Закону Республіки Польща «Про </w:t>
      </w:r>
      <w:proofErr w:type="spellStart"/>
      <w:r w:rsidRPr="00F14640">
        <w:rPr>
          <w:rStyle w:val="80pt"/>
          <w:bCs/>
          <w:sz w:val="24"/>
          <w:szCs w:val="24"/>
        </w:rPr>
        <w:t>ґмінне</w:t>
      </w:r>
      <w:proofErr w:type="spellEnd"/>
      <w:r w:rsidRPr="00F14640">
        <w:rPr>
          <w:rStyle w:val="80pt"/>
          <w:bCs/>
          <w:sz w:val="24"/>
          <w:szCs w:val="24"/>
        </w:rPr>
        <w:t xml:space="preserve"> самоврядування»). Відповідно до ст. 18 Закону Республіки Польща «Про </w:t>
      </w:r>
      <w:proofErr w:type="spellStart"/>
      <w:r w:rsidRPr="00F14640">
        <w:rPr>
          <w:rStyle w:val="80pt"/>
          <w:bCs/>
          <w:sz w:val="24"/>
          <w:szCs w:val="24"/>
        </w:rPr>
        <w:t>ґмінне</w:t>
      </w:r>
      <w:proofErr w:type="spellEnd"/>
      <w:r w:rsidRPr="00F14640">
        <w:rPr>
          <w:rStyle w:val="80pt"/>
          <w:bCs/>
          <w:sz w:val="24"/>
          <w:szCs w:val="24"/>
        </w:rPr>
        <w:t xml:space="preserve"> самоврядування» до виключних повноважень ради </w:t>
      </w:r>
      <w:proofErr w:type="spellStart"/>
      <w:r w:rsidRPr="00F14640">
        <w:rPr>
          <w:rStyle w:val="80pt"/>
          <w:bCs/>
          <w:sz w:val="24"/>
          <w:szCs w:val="24"/>
        </w:rPr>
        <w:t>ґміни</w:t>
      </w:r>
      <w:proofErr w:type="spellEnd"/>
      <w:r w:rsidRPr="00F14640">
        <w:rPr>
          <w:rStyle w:val="80pt"/>
          <w:bCs/>
          <w:sz w:val="24"/>
          <w:szCs w:val="24"/>
        </w:rPr>
        <w:t xml:space="preserve"> належать такі ПООГ: прийняття економічних програм; прийняття рішень з майнових питань </w:t>
      </w:r>
      <w:proofErr w:type="spellStart"/>
      <w:r w:rsidRPr="00F14640">
        <w:rPr>
          <w:rStyle w:val="80pt"/>
          <w:bCs/>
          <w:sz w:val="24"/>
          <w:szCs w:val="24"/>
        </w:rPr>
        <w:t>ґміни</w:t>
      </w:r>
      <w:proofErr w:type="spellEnd"/>
      <w:r w:rsidRPr="00F14640">
        <w:rPr>
          <w:rStyle w:val="80pt"/>
          <w:bCs/>
          <w:sz w:val="24"/>
          <w:szCs w:val="24"/>
        </w:rPr>
        <w:t>, які виходять за межі звичайної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C2472" w:rsidRPr="006C2472">
        <w:rPr>
          <w:rStyle w:val="80pt"/>
          <w:bCs/>
          <w:sz w:val="24"/>
          <w:szCs w:val="24"/>
        </w:rPr>
        <w:t xml:space="preserve">діяльності правління і які стосуються: визначення правил набуття, відчуження, обтяження об’єктів земельної нерухомості, а також їх здачі в оренду чи найму на строк понад три роки, якщо окремими положеннями не передбачено інше, до моменту визначення цих правил правління може виконувати ці функції виключно за згодою ради </w:t>
      </w:r>
      <w:proofErr w:type="spellStart"/>
      <w:r w:rsidR="006C2472" w:rsidRPr="006C2472">
        <w:rPr>
          <w:rStyle w:val="80pt"/>
          <w:bCs/>
          <w:sz w:val="24"/>
          <w:szCs w:val="24"/>
        </w:rPr>
        <w:t>ґміни</w:t>
      </w:r>
      <w:proofErr w:type="spellEnd"/>
      <w:r w:rsidR="006C2472" w:rsidRPr="006C2472">
        <w:rPr>
          <w:rStyle w:val="80pt"/>
          <w:bCs/>
          <w:sz w:val="24"/>
          <w:szCs w:val="24"/>
        </w:rPr>
        <w:t xml:space="preserve">; випуск облігацій, а також визначення порядку їх збуту, придбання і викупу правлінням; отримання довгострокових позик і кредитів; встановлення максимального розміру короткострокових позик, наданих правлінням у бюджетному році; зобов’язань щодо здійснення інвестицій і ремонтів, вартість яких перевищує межі, що встановлюються щорічно радою </w:t>
      </w:r>
      <w:proofErr w:type="spellStart"/>
      <w:r w:rsidR="006C2472" w:rsidRPr="006C2472">
        <w:rPr>
          <w:rStyle w:val="80pt"/>
          <w:bCs/>
          <w:sz w:val="24"/>
          <w:szCs w:val="24"/>
        </w:rPr>
        <w:t>ґміни</w:t>
      </w:r>
      <w:proofErr w:type="spellEnd"/>
      <w:r w:rsidR="006C2472" w:rsidRPr="006C2472">
        <w:rPr>
          <w:rStyle w:val="80pt"/>
          <w:bCs/>
          <w:sz w:val="24"/>
          <w:szCs w:val="24"/>
        </w:rPr>
        <w:t xml:space="preserve">; створення і вступ до товариств, кооперативів, а також розпуск і вихід з них; визначення порядку внесення, повернення і продажу правлінням акцій і паїв; створення, ліквідації і реорганізації підприємств, установ, інших </w:t>
      </w:r>
      <w:proofErr w:type="spellStart"/>
      <w:r w:rsidR="006C2472" w:rsidRPr="006C2472">
        <w:rPr>
          <w:rStyle w:val="80pt"/>
          <w:bCs/>
          <w:sz w:val="24"/>
          <w:szCs w:val="24"/>
        </w:rPr>
        <w:t>ґмінних</w:t>
      </w:r>
      <w:proofErr w:type="spellEnd"/>
      <w:r w:rsidR="006C2472" w:rsidRPr="006C2472">
        <w:rPr>
          <w:rStyle w:val="80pt"/>
          <w:bCs/>
          <w:sz w:val="24"/>
          <w:szCs w:val="24"/>
        </w:rPr>
        <w:t xml:space="preserve"> організаційних одиниць, а також виділення їм майна; встановлення максимального розміру позик і застав, наданих правлінням в бюджетному році. Виконавчим органом </w:t>
      </w:r>
      <w:proofErr w:type="spellStart"/>
      <w:r w:rsidR="006C2472" w:rsidRPr="006C2472">
        <w:rPr>
          <w:rStyle w:val="80pt"/>
          <w:bCs/>
          <w:sz w:val="24"/>
          <w:szCs w:val="24"/>
        </w:rPr>
        <w:t>ґміни</w:t>
      </w:r>
      <w:proofErr w:type="spellEnd"/>
      <w:r w:rsidR="006C2472" w:rsidRPr="006C2472">
        <w:rPr>
          <w:rStyle w:val="80pt"/>
          <w:bCs/>
          <w:sz w:val="24"/>
          <w:szCs w:val="24"/>
        </w:rPr>
        <w:t xml:space="preserve"> є правління, до завдань якого належить управління комунальним майном, призначення та звільнення керівників </w:t>
      </w:r>
      <w:proofErr w:type="spellStart"/>
      <w:r w:rsidR="006C2472" w:rsidRPr="006C2472">
        <w:rPr>
          <w:rStyle w:val="80pt"/>
          <w:bCs/>
          <w:sz w:val="24"/>
          <w:szCs w:val="24"/>
        </w:rPr>
        <w:t>ґмінних</w:t>
      </w:r>
      <w:proofErr w:type="spellEnd"/>
      <w:r w:rsidR="006C2472" w:rsidRPr="006C2472">
        <w:rPr>
          <w:rStyle w:val="80pt"/>
          <w:bCs/>
          <w:sz w:val="24"/>
          <w:szCs w:val="24"/>
        </w:rPr>
        <w:t xml:space="preserve"> організаційних одиниць (ст. </w:t>
      </w:r>
      <w:proofErr w:type="gramStart"/>
      <w:r>
        <w:rPr>
          <w:rStyle w:val="80pt"/>
          <w:bCs/>
          <w:sz w:val="24"/>
          <w:szCs w:val="24"/>
          <w:lang w:val="en-US"/>
        </w:rPr>
        <w:t>30</w:t>
      </w:r>
      <w:r w:rsidR="006C2472" w:rsidRPr="006C2472">
        <w:rPr>
          <w:rStyle w:val="80pt"/>
          <w:bCs/>
          <w:sz w:val="24"/>
          <w:szCs w:val="24"/>
        </w:rPr>
        <w:t xml:space="preserve"> Закону Республіки Польща «Про </w:t>
      </w:r>
      <w:proofErr w:type="spellStart"/>
      <w:r w:rsidR="006C2472" w:rsidRPr="006C2472">
        <w:rPr>
          <w:rStyle w:val="80pt"/>
          <w:bCs/>
          <w:sz w:val="24"/>
          <w:szCs w:val="24"/>
        </w:rPr>
        <w:t>ґмінне</w:t>
      </w:r>
      <w:proofErr w:type="spellEnd"/>
      <w:r w:rsidR="006C2472" w:rsidRPr="006C2472">
        <w:rPr>
          <w:rStyle w:val="80pt"/>
          <w:bCs/>
          <w:sz w:val="24"/>
          <w:szCs w:val="24"/>
        </w:rPr>
        <w:t xml:space="preserve"> самоврядування»).</w:t>
      </w:r>
      <w:proofErr w:type="gramEnd"/>
    </w:p>
    <w:p w:rsidR="00F14640" w:rsidRPr="00F14640" w:rsidRDefault="006C2472" w:rsidP="00F14640">
      <w:pPr>
        <w:pStyle w:val="80"/>
        <w:shd w:val="clear" w:color="auto" w:fill="auto"/>
        <w:spacing w:line="288" w:lineRule="auto"/>
        <w:ind w:left="426" w:right="200" w:firstLine="340"/>
        <w:rPr>
          <w:sz w:val="24"/>
          <w:szCs w:val="24"/>
          <w:lang w:val="en-US"/>
        </w:rPr>
      </w:pPr>
      <w:r w:rsidRPr="006C2472">
        <w:rPr>
          <w:rStyle w:val="80pt"/>
          <w:bCs/>
          <w:sz w:val="24"/>
          <w:szCs w:val="24"/>
        </w:rPr>
        <w:lastRenderedPageBreak/>
        <w:t xml:space="preserve">Відповідно до ст. 4 Закону Республіки Польща «Про повітове самоврядування» повіт (місцева самоврядна громада, а також відповідна територія) виконує визначені в законодавстві громадські завдання, які мають </w:t>
      </w:r>
      <w:proofErr w:type="spellStart"/>
      <w:r w:rsidRPr="006C2472">
        <w:rPr>
          <w:rStyle w:val="80pt"/>
          <w:bCs/>
          <w:sz w:val="24"/>
          <w:szCs w:val="24"/>
        </w:rPr>
        <w:t>надґмінний</w:t>
      </w:r>
      <w:proofErr w:type="spellEnd"/>
      <w:r w:rsidRPr="006C2472">
        <w:rPr>
          <w:rStyle w:val="80pt"/>
          <w:bCs/>
          <w:sz w:val="24"/>
          <w:szCs w:val="24"/>
        </w:rPr>
        <w:t xml:space="preserve"> характер, щодо транспорту і громадських доріг; управління нерухомістю; охорони прав споживачів та інше [130, с. 151]. До виключної компетенції ради повіту належать такі ПООГ: визначення напрямів діяльності правління повіту; прийняття рішень майнових питань повіту, які стосуються: правил набуття, відчуження, обтяження об’єктів земельної нерухомості, а також їх здачі в оренду чи найму на строк понад три роки, якщо інше не передбачено окремими законами; випуск облігацій, а також визначення порядку їх збуту, придбання і викупу; отримання довгострокових позик і кредитів; ви</w:t>
      </w:r>
      <w:r w:rsidR="00F14640" w:rsidRPr="00F14640">
        <w:rPr>
          <w:rStyle w:val="80pt"/>
          <w:bCs/>
          <w:sz w:val="24"/>
          <w:szCs w:val="24"/>
        </w:rPr>
        <w:t>значення</w:t>
      </w:r>
      <w:r w:rsidR="00F14640">
        <w:rPr>
          <w:rStyle w:val="80pt"/>
          <w:b/>
          <w:bCs/>
          <w:spacing w:val="100"/>
          <w:sz w:val="24"/>
          <w:szCs w:val="24"/>
          <w:lang w:val="en-US"/>
        </w:rPr>
        <w:t xml:space="preserve"> </w:t>
      </w:r>
      <w:r w:rsidR="00F14640" w:rsidRPr="00F14640">
        <w:rPr>
          <w:rStyle w:val="80pt"/>
          <w:bCs/>
          <w:sz w:val="24"/>
          <w:szCs w:val="24"/>
        </w:rPr>
        <w:t>максимального розміру короткострокових позик і кредитів, які отримуються правлінням, чи максимального розміру позик і застав, наданих правлінням у бюджетному році; зобов’язань щодо здійснення інвестицій і ремонтів, вартість яких перевищує межі, що встановлюються щорічно радою; створення і вступ до товариств, їх розпуск і вихід з них, визначення порядку внесення вкладів, а також прийняття, набуття, відчуження часток і акцій; створення, реорганізації і ліквідації організаційних одиниць, а також виділення їм майна (ст. 12 Закону Республіки Польща «Про повітове самоврядування»). Правління повіту є виконавчим органом повіту, до завдань якого, відповідно до ст. 32 Закону Республіки Польща «Про повітове самоврядування», належать управління майном повіту, прийняття на роботу та звільнення керівників організаційних одиниць повіту.</w:t>
      </w:r>
    </w:p>
    <w:sectPr w:rsidR="00F14640" w:rsidRPr="00F14640" w:rsidSect="00F14640">
      <w:pgSz w:w="11907" w:h="16839" w:code="9"/>
      <w:pgMar w:top="709" w:right="360" w:bottom="70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3B" w:rsidRDefault="001E633B">
      <w:r>
        <w:separator/>
      </w:r>
    </w:p>
  </w:endnote>
  <w:endnote w:type="continuationSeparator" w:id="0">
    <w:p w:rsidR="001E633B" w:rsidRDefault="001E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3B" w:rsidRDefault="001E633B"/>
  </w:footnote>
  <w:footnote w:type="continuationSeparator" w:id="0">
    <w:p w:rsidR="001E633B" w:rsidRDefault="001E63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DC9"/>
    <w:multiLevelType w:val="multilevel"/>
    <w:tmpl w:val="B84EF79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3E"/>
    <w:rsid w:val="001E633B"/>
    <w:rsid w:val="004B54FA"/>
    <w:rsid w:val="006B023E"/>
    <w:rsid w:val="006C2472"/>
    <w:rsid w:val="00A017D1"/>
    <w:rsid w:val="00BB188A"/>
    <w:rsid w:val="00F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rebuchet MS" w:eastAsia="Trebuchet MS" w:hAnsi="Trebuchet MS" w:cs="Trebuchet MS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 (3)_"/>
    <w:basedOn w:val="a0"/>
    <w:link w:val="2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и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0"/>
      <w:sz w:val="20"/>
      <w:szCs w:val="20"/>
      <w:u w:val="none"/>
    </w:rPr>
  </w:style>
  <w:style w:type="character" w:customStyle="1" w:styleId="80pt">
    <w:name w:val="Основний текст (8) + Інтервал 0 pt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1">
    <w:name w:val="Основний текст (12)_"/>
    <w:basedOn w:val="a0"/>
    <w:link w:val="12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6pt0pt">
    <w:name w:val="Основний текст (8) + 6 pt;Не напівжирний;Інтервал 0 pt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TrebuchetMS75pt1pt">
    <w:name w:val="Основний текст (8) + Trebuchet MS;7;5 pt;Не напівжирний;Курсив;Інтервал 1 pt"/>
    <w:basedOn w:val="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120" w:line="324" w:lineRule="exact"/>
      <w:jc w:val="center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line="274" w:lineRule="exact"/>
      <w:jc w:val="center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125" w:lineRule="exact"/>
      <w:jc w:val="both"/>
    </w:pPr>
    <w:rPr>
      <w:rFonts w:ascii="Bookman Old Style" w:eastAsia="Bookman Old Style" w:hAnsi="Bookman Old Style" w:cs="Bookman Old Style"/>
      <w:b/>
      <w:bCs/>
      <w:spacing w:val="10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122">
    <w:name w:val="Основний текст (12)"/>
    <w:basedOn w:val="a"/>
    <w:link w:val="121"/>
    <w:pPr>
      <w:shd w:val="clear" w:color="auto" w:fill="FFFFFF"/>
      <w:spacing w:after="180" w:line="0" w:lineRule="atLeast"/>
      <w:jc w:val="center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81pt">
    <w:name w:val="Основний текст (8) + Інтервал 1 pt"/>
    <w:basedOn w:val="8"/>
    <w:rsid w:val="006C24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sid w:val="006C2472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32">
    <w:name w:val="Колонтитул (3)"/>
    <w:basedOn w:val="a"/>
    <w:link w:val="31"/>
    <w:rsid w:val="006C247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rebuchet MS" w:eastAsia="Trebuchet MS" w:hAnsi="Trebuchet MS" w:cs="Trebuchet MS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 (3)_"/>
    <w:basedOn w:val="a0"/>
    <w:link w:val="2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и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0"/>
      <w:sz w:val="20"/>
      <w:szCs w:val="20"/>
      <w:u w:val="none"/>
    </w:rPr>
  </w:style>
  <w:style w:type="character" w:customStyle="1" w:styleId="80pt">
    <w:name w:val="Основний текст (8) + Інтервал 0 pt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1">
    <w:name w:val="Основний текст (12)_"/>
    <w:basedOn w:val="a0"/>
    <w:link w:val="12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6pt0pt">
    <w:name w:val="Основний текст (8) + 6 pt;Не напівжирний;Інтервал 0 pt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TrebuchetMS75pt1pt">
    <w:name w:val="Основний текст (8) + Trebuchet MS;7;5 pt;Не напівжирний;Курсив;Інтервал 1 pt"/>
    <w:basedOn w:val="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120" w:line="324" w:lineRule="exact"/>
      <w:jc w:val="center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line="274" w:lineRule="exact"/>
      <w:jc w:val="center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125" w:lineRule="exact"/>
      <w:jc w:val="both"/>
    </w:pPr>
    <w:rPr>
      <w:rFonts w:ascii="Bookman Old Style" w:eastAsia="Bookman Old Style" w:hAnsi="Bookman Old Style" w:cs="Bookman Old Style"/>
      <w:b/>
      <w:bCs/>
      <w:spacing w:val="10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122">
    <w:name w:val="Основний текст (12)"/>
    <w:basedOn w:val="a"/>
    <w:link w:val="121"/>
    <w:pPr>
      <w:shd w:val="clear" w:color="auto" w:fill="FFFFFF"/>
      <w:spacing w:after="180" w:line="0" w:lineRule="atLeast"/>
      <w:jc w:val="center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81pt">
    <w:name w:val="Основний текст (8) + Інтервал 1 pt"/>
    <w:basedOn w:val="8"/>
    <w:rsid w:val="006C24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sid w:val="006C2472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32">
    <w:name w:val="Колонтитул (3)"/>
    <w:basedOn w:val="a"/>
    <w:link w:val="31"/>
    <w:rsid w:val="006C247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12901</Words>
  <Characters>7355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2017-01-20T11:59:00Z</dcterms:created>
  <dcterms:modified xsi:type="dcterms:W3CDTF">2017-01-23T13:15:00Z</dcterms:modified>
</cp:coreProperties>
</file>